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E87EDA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BPW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Pr="00E87EDA">
        <w:rPr>
          <w:rFonts w:ascii="Arial" w:hAnsi="Arial" w:cs="Arial"/>
          <w:b/>
          <w:sz w:val="20"/>
          <w:szCs w:val="20"/>
        </w:rPr>
        <w:t>Annual General Mandate 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E87EDA">
        <w:rPr>
          <w:rFonts w:ascii="Arial" w:hAnsi="Arial" w:cs="Arial"/>
          <w:sz w:val="20"/>
          <w:szCs w:val="20"/>
        </w:rPr>
        <w:t>24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E87EDA" w:rsidRPr="00E87EDA">
        <w:rPr>
          <w:rFonts w:ascii="Arial" w:hAnsi="Arial" w:cs="Arial"/>
          <w:sz w:val="20"/>
          <w:szCs w:val="20"/>
        </w:rPr>
        <w:t>Binh</w:t>
      </w:r>
      <w:proofErr w:type="spellEnd"/>
      <w:r w:rsidR="00E87EDA" w:rsidRPr="00E87E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87EDA" w:rsidRPr="00E87EDA">
        <w:rPr>
          <w:rFonts w:ascii="Arial" w:hAnsi="Arial" w:cs="Arial"/>
          <w:sz w:val="20"/>
          <w:szCs w:val="20"/>
        </w:rPr>
        <w:t>Phuoc</w:t>
      </w:r>
      <w:proofErr w:type="spellEnd"/>
      <w:r w:rsidR="00E87EDA" w:rsidRPr="00E87EDA">
        <w:rPr>
          <w:rFonts w:ascii="Arial" w:hAnsi="Arial" w:cs="Arial"/>
          <w:sz w:val="20"/>
          <w:szCs w:val="20"/>
        </w:rPr>
        <w:t xml:space="preserve"> Water Supply and Sewerage Joint Stock Company</w:t>
      </w:r>
      <w:r w:rsidR="00E87EDA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E87EDA">
        <w:rPr>
          <w:rFonts w:ascii="Arial" w:hAnsi="Arial" w:cs="Arial"/>
          <w:sz w:val="20"/>
          <w:szCs w:val="20"/>
        </w:rPr>
        <w:t>annual General Mandate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E87EDA" w:rsidRDefault="00E87ED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 Approve</w:t>
      </w:r>
      <w:r w:rsidRPr="00E87EDA">
        <w:rPr>
          <w:rFonts w:ascii="Arial" w:hAnsi="Arial" w:cs="Arial"/>
          <w:sz w:val="20"/>
          <w:szCs w:val="20"/>
        </w:rPr>
        <w:t xml:space="preserve"> the Report of the Board of Directors and </w:t>
      </w:r>
      <w:r>
        <w:rPr>
          <w:rFonts w:ascii="Arial" w:hAnsi="Arial" w:cs="Arial"/>
          <w:sz w:val="20"/>
          <w:szCs w:val="20"/>
        </w:rPr>
        <w:t xml:space="preserve">Management Board </w:t>
      </w:r>
      <w:r w:rsidRPr="00E87EDA">
        <w:rPr>
          <w:rFonts w:ascii="Arial" w:hAnsi="Arial" w:cs="Arial"/>
          <w:sz w:val="20"/>
          <w:szCs w:val="20"/>
        </w:rPr>
        <w:t xml:space="preserve">of </w:t>
      </w:r>
      <w:proofErr w:type="spellStart"/>
      <w:r w:rsidRPr="00E87EDA">
        <w:rPr>
          <w:rFonts w:ascii="Arial" w:hAnsi="Arial" w:cs="Arial"/>
          <w:sz w:val="20"/>
          <w:szCs w:val="20"/>
        </w:rPr>
        <w:t>Binh</w:t>
      </w:r>
      <w:proofErr w:type="spellEnd"/>
      <w:r w:rsidRPr="00E87E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7EDA">
        <w:rPr>
          <w:rFonts w:ascii="Arial" w:hAnsi="Arial" w:cs="Arial"/>
          <w:sz w:val="20"/>
          <w:szCs w:val="20"/>
        </w:rPr>
        <w:t>Phuoc</w:t>
      </w:r>
      <w:proofErr w:type="spellEnd"/>
      <w:r w:rsidRPr="00E87EDA">
        <w:rPr>
          <w:rFonts w:ascii="Arial" w:hAnsi="Arial" w:cs="Arial"/>
          <w:sz w:val="20"/>
          <w:szCs w:val="20"/>
        </w:rPr>
        <w:t xml:space="preserve"> Water Supply and Sewerage Joint Stock Company (“the Company”) on activities</w:t>
      </w:r>
      <w:r>
        <w:rPr>
          <w:rFonts w:ascii="Arial" w:hAnsi="Arial" w:cs="Arial"/>
          <w:sz w:val="20"/>
          <w:szCs w:val="20"/>
        </w:rPr>
        <w:t xml:space="preserve"> in 2019 and the plan for 2020</w:t>
      </w:r>
    </w:p>
    <w:p w:rsidR="00E87EDA" w:rsidRDefault="00E87ED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 Approve the o</w:t>
      </w:r>
      <w:r w:rsidRPr="00E87EDA">
        <w:rPr>
          <w:rFonts w:ascii="Arial" w:hAnsi="Arial" w:cs="Arial"/>
          <w:sz w:val="20"/>
          <w:szCs w:val="20"/>
        </w:rPr>
        <w:t>peration Report of</w:t>
      </w:r>
      <w:r>
        <w:rPr>
          <w:rFonts w:ascii="Arial" w:hAnsi="Arial" w:cs="Arial"/>
          <w:sz w:val="20"/>
          <w:szCs w:val="20"/>
        </w:rPr>
        <w:t xml:space="preserve"> the Supervisory Board in 2019</w:t>
      </w:r>
    </w:p>
    <w:p w:rsidR="00E87EDA" w:rsidRDefault="00E87ED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3: Approve</w:t>
      </w:r>
      <w:r w:rsidRPr="00E87EDA">
        <w:rPr>
          <w:rFonts w:ascii="Arial" w:hAnsi="Arial" w:cs="Arial"/>
          <w:sz w:val="20"/>
          <w:szCs w:val="20"/>
        </w:rPr>
        <w:t xml:space="preserve"> the Statement o</w:t>
      </w:r>
      <w:r>
        <w:rPr>
          <w:rFonts w:ascii="Arial" w:hAnsi="Arial" w:cs="Arial"/>
          <w:sz w:val="20"/>
          <w:szCs w:val="20"/>
        </w:rPr>
        <w:t>n profit distribution</w:t>
      </w:r>
      <w:r w:rsidRPr="00E87EDA">
        <w:rPr>
          <w:rFonts w:ascii="Arial" w:hAnsi="Arial" w:cs="Arial"/>
          <w:sz w:val="20"/>
          <w:szCs w:val="20"/>
        </w:rPr>
        <w:t xml:space="preserve"> and remuneration for the Board of Directors, the Supervisory Board in 2019 and the plan for 2020 (according to </w:t>
      </w:r>
      <w:r>
        <w:rPr>
          <w:rFonts w:ascii="Arial" w:hAnsi="Arial" w:cs="Arial"/>
          <w:sz w:val="20"/>
          <w:szCs w:val="20"/>
        </w:rPr>
        <w:t>Statement No.66/2020/</w:t>
      </w:r>
      <w:proofErr w:type="spellStart"/>
      <w:r>
        <w:rPr>
          <w:rFonts w:ascii="Arial" w:hAnsi="Arial" w:cs="Arial"/>
          <w:sz w:val="20"/>
          <w:szCs w:val="20"/>
        </w:rPr>
        <w:t>TTr</w:t>
      </w:r>
      <w:proofErr w:type="spellEnd"/>
      <w:r>
        <w:rPr>
          <w:rFonts w:ascii="Arial" w:hAnsi="Arial" w:cs="Arial"/>
          <w:sz w:val="20"/>
          <w:szCs w:val="20"/>
        </w:rPr>
        <w:t xml:space="preserve"> - HDQT dated April 9, 2020)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2418"/>
        <w:gridCol w:w="2805"/>
        <w:gridCol w:w="1806"/>
        <w:gridCol w:w="1677"/>
      </w:tblGrid>
      <w:tr w:rsidR="001B10F3" w:rsidTr="001B10F3">
        <w:tc>
          <w:tcPr>
            <w:tcW w:w="652" w:type="dxa"/>
          </w:tcPr>
          <w:p w:rsidR="001B10F3" w:rsidRDefault="001B10F3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2477" w:type="dxa"/>
          </w:tcPr>
          <w:p w:rsidR="001B10F3" w:rsidRDefault="001B10F3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Items</w:t>
            </w:r>
          </w:p>
        </w:tc>
        <w:tc>
          <w:tcPr>
            <w:tcW w:w="2946" w:type="dxa"/>
          </w:tcPr>
          <w:p w:rsidR="001B10F3" w:rsidRDefault="001B10F3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</w:t>
            </w:r>
          </w:p>
        </w:tc>
        <w:tc>
          <w:tcPr>
            <w:tcW w:w="1819" w:type="dxa"/>
          </w:tcPr>
          <w:p w:rsidR="001B10F3" w:rsidRDefault="001B10F3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Realized in 2019</w:t>
            </w:r>
          </w:p>
        </w:tc>
        <w:tc>
          <w:tcPr>
            <w:tcW w:w="1682" w:type="dxa"/>
          </w:tcPr>
          <w:p w:rsidR="001B10F3" w:rsidRDefault="001B10F3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for 2020</w:t>
            </w:r>
          </w:p>
        </w:tc>
      </w:tr>
      <w:tr w:rsidR="001B10F3" w:rsidTr="001B10F3">
        <w:tc>
          <w:tcPr>
            <w:tcW w:w="652" w:type="dxa"/>
          </w:tcPr>
          <w:p w:rsidR="001B10F3" w:rsidRDefault="001B10F3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77" w:type="dxa"/>
          </w:tcPr>
          <w:p w:rsidR="001B10F3" w:rsidRPr="001B10F3" w:rsidRDefault="001B10F3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10F3">
              <w:rPr>
                <w:rFonts w:ascii="Arial" w:hAnsi="Arial" w:cs="Arial"/>
                <w:sz w:val="20"/>
                <w:szCs w:val="20"/>
              </w:rPr>
              <w:t>Gross sa</w:t>
            </w:r>
            <w:bookmarkStart w:id="0" w:name="_GoBack"/>
            <w:bookmarkEnd w:id="0"/>
            <w:r w:rsidRPr="001B10F3">
              <w:rPr>
                <w:rFonts w:ascii="Arial" w:hAnsi="Arial" w:cs="Arial"/>
                <w:sz w:val="20"/>
                <w:szCs w:val="20"/>
              </w:rPr>
              <w:t>les of merchandise and services</w:t>
            </w:r>
          </w:p>
        </w:tc>
        <w:tc>
          <w:tcPr>
            <w:tcW w:w="2946" w:type="dxa"/>
          </w:tcPr>
          <w:p w:rsidR="001B10F3" w:rsidRDefault="001B10F3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1819" w:type="dxa"/>
          </w:tcPr>
          <w:p w:rsidR="001B10F3" w:rsidRDefault="001B10F3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85,990,854,377</w:t>
            </w:r>
          </w:p>
        </w:tc>
        <w:tc>
          <w:tcPr>
            <w:tcW w:w="1682" w:type="dxa"/>
          </w:tcPr>
          <w:p w:rsidR="001B10F3" w:rsidRDefault="001B10F3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96,529,876,916</w:t>
            </w:r>
          </w:p>
          <w:p w:rsidR="001B10F3" w:rsidRDefault="001B10F3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0F3" w:rsidTr="001B10F3">
        <w:tc>
          <w:tcPr>
            <w:tcW w:w="652" w:type="dxa"/>
          </w:tcPr>
          <w:p w:rsidR="001B10F3" w:rsidRDefault="001B10F3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77" w:type="dxa"/>
          </w:tcPr>
          <w:p w:rsidR="001B10F3" w:rsidRDefault="001B10F3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Profit before tax</w:t>
            </w:r>
          </w:p>
        </w:tc>
        <w:tc>
          <w:tcPr>
            <w:tcW w:w="2946" w:type="dxa"/>
          </w:tcPr>
          <w:p w:rsidR="001B10F3" w:rsidRDefault="001B10F3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1819" w:type="dxa"/>
          </w:tcPr>
          <w:p w:rsidR="001B10F3" w:rsidRDefault="001B10F3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3,794,296,696</w:t>
            </w:r>
          </w:p>
        </w:tc>
        <w:tc>
          <w:tcPr>
            <w:tcW w:w="1682" w:type="dxa"/>
          </w:tcPr>
          <w:p w:rsidR="001B10F3" w:rsidRDefault="001B10F3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6,372,411,985</w:t>
            </w:r>
          </w:p>
        </w:tc>
      </w:tr>
      <w:tr w:rsidR="001B10F3" w:rsidTr="001B10F3">
        <w:tc>
          <w:tcPr>
            <w:tcW w:w="652" w:type="dxa"/>
          </w:tcPr>
          <w:p w:rsidR="001B10F3" w:rsidRDefault="001B10F3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77" w:type="dxa"/>
          </w:tcPr>
          <w:p w:rsidR="001B10F3" w:rsidRDefault="001B10F3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Profit after tax</w:t>
            </w:r>
          </w:p>
        </w:tc>
        <w:tc>
          <w:tcPr>
            <w:tcW w:w="2946" w:type="dxa"/>
          </w:tcPr>
          <w:p w:rsidR="001B10F3" w:rsidRDefault="001B10F3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1819" w:type="dxa"/>
          </w:tcPr>
          <w:p w:rsidR="001B10F3" w:rsidRDefault="001B10F3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3,492,101,266</w:t>
            </w:r>
          </w:p>
        </w:tc>
        <w:tc>
          <w:tcPr>
            <w:tcW w:w="1682" w:type="dxa"/>
          </w:tcPr>
          <w:p w:rsidR="001B10F3" w:rsidRDefault="001B10F3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5,097,929,588</w:t>
            </w:r>
          </w:p>
        </w:tc>
      </w:tr>
      <w:tr w:rsidR="001B10F3" w:rsidTr="001B10F3">
        <w:tc>
          <w:tcPr>
            <w:tcW w:w="652" w:type="dxa"/>
          </w:tcPr>
          <w:p w:rsidR="001B10F3" w:rsidRDefault="001B10F3" w:rsidP="001B10F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77" w:type="dxa"/>
          </w:tcPr>
          <w:p w:rsidR="001B10F3" w:rsidRDefault="001B10F3" w:rsidP="001B10F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Compensation for losses of previous years</w:t>
            </w:r>
          </w:p>
        </w:tc>
        <w:tc>
          <w:tcPr>
            <w:tcW w:w="2946" w:type="dxa"/>
          </w:tcPr>
          <w:p w:rsidR="001B10F3" w:rsidRDefault="001B10F3" w:rsidP="001B10F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1819" w:type="dxa"/>
          </w:tcPr>
          <w:p w:rsidR="001B10F3" w:rsidRDefault="001B10F3" w:rsidP="001B10F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3,000,760,936</w:t>
            </w:r>
          </w:p>
        </w:tc>
        <w:tc>
          <w:tcPr>
            <w:tcW w:w="1682" w:type="dxa"/>
          </w:tcPr>
          <w:p w:rsidR="001B10F3" w:rsidRDefault="001B10F3" w:rsidP="001B10F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0F3" w:rsidTr="001B10F3">
        <w:trPr>
          <w:trHeight w:val="458"/>
        </w:trPr>
        <w:tc>
          <w:tcPr>
            <w:tcW w:w="652" w:type="dxa"/>
          </w:tcPr>
          <w:p w:rsidR="001B10F3" w:rsidRDefault="001B10F3" w:rsidP="001B10F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77" w:type="dxa"/>
          </w:tcPr>
          <w:p w:rsidR="001B10F3" w:rsidRDefault="001B10F3" w:rsidP="001B10F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Expected dividend</w:t>
            </w:r>
          </w:p>
        </w:tc>
        <w:tc>
          <w:tcPr>
            <w:tcW w:w="2946" w:type="dxa"/>
          </w:tcPr>
          <w:p w:rsidR="001B10F3" w:rsidRDefault="001B10F3" w:rsidP="001B10F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1819" w:type="dxa"/>
          </w:tcPr>
          <w:p w:rsidR="001B10F3" w:rsidRDefault="001B10F3" w:rsidP="001B10F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491,340,330</w:t>
            </w:r>
          </w:p>
        </w:tc>
        <w:tc>
          <w:tcPr>
            <w:tcW w:w="1682" w:type="dxa"/>
          </w:tcPr>
          <w:p w:rsidR="001B10F3" w:rsidRDefault="001B10F3" w:rsidP="001B10F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4,597,929,588</w:t>
            </w:r>
          </w:p>
        </w:tc>
      </w:tr>
      <w:tr w:rsidR="001B10F3" w:rsidTr="001B10F3">
        <w:tc>
          <w:tcPr>
            <w:tcW w:w="652" w:type="dxa"/>
          </w:tcPr>
          <w:p w:rsidR="001B10F3" w:rsidRDefault="001B10F3" w:rsidP="001B10F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77" w:type="dxa"/>
          </w:tcPr>
          <w:p w:rsidR="001B10F3" w:rsidRDefault="001B10F3" w:rsidP="001B10F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Retained earnings</w:t>
            </w:r>
          </w:p>
        </w:tc>
        <w:tc>
          <w:tcPr>
            <w:tcW w:w="2946" w:type="dxa"/>
          </w:tcPr>
          <w:p w:rsidR="001B10F3" w:rsidRDefault="001B10F3" w:rsidP="001B10F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1819" w:type="dxa"/>
          </w:tcPr>
          <w:p w:rsidR="001B10F3" w:rsidRDefault="001B10F3" w:rsidP="001B10F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82" w:type="dxa"/>
          </w:tcPr>
          <w:p w:rsidR="001B10F3" w:rsidRDefault="001B10F3" w:rsidP="001B10F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B10F3" w:rsidTr="001B10F3">
        <w:tc>
          <w:tcPr>
            <w:tcW w:w="652" w:type="dxa"/>
          </w:tcPr>
          <w:p w:rsidR="001B10F3" w:rsidRDefault="001B10F3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77" w:type="dxa"/>
          </w:tcPr>
          <w:p w:rsidR="001B10F3" w:rsidRDefault="001B10F3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Dividend rate/ profit</w:t>
            </w:r>
          </w:p>
        </w:tc>
        <w:tc>
          <w:tcPr>
            <w:tcW w:w="2946" w:type="dxa"/>
          </w:tcPr>
          <w:p w:rsidR="001B10F3" w:rsidRDefault="001B10F3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819" w:type="dxa"/>
          </w:tcPr>
          <w:p w:rsidR="001B10F3" w:rsidRDefault="001B10F3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82" w:type="dxa"/>
          </w:tcPr>
          <w:p w:rsidR="001B10F3" w:rsidRDefault="001B10F3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1B10F3" w:rsidRDefault="001B10F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87EDA" w:rsidRDefault="00E87ED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4:</w:t>
      </w:r>
      <w:r w:rsidRPr="00E87EDA">
        <w:rPr>
          <w:rFonts w:ascii="Arial" w:hAnsi="Arial" w:cs="Arial"/>
          <w:sz w:val="20"/>
          <w:szCs w:val="20"/>
        </w:rPr>
        <w:t xml:space="preserve"> Approving the </w:t>
      </w:r>
      <w:r>
        <w:rPr>
          <w:rFonts w:ascii="Arial" w:hAnsi="Arial" w:cs="Arial"/>
          <w:sz w:val="20"/>
          <w:szCs w:val="20"/>
        </w:rPr>
        <w:t>Statement</w:t>
      </w:r>
      <w:r w:rsidRPr="00E87EDA">
        <w:rPr>
          <w:rFonts w:ascii="Arial" w:hAnsi="Arial" w:cs="Arial"/>
          <w:sz w:val="20"/>
          <w:szCs w:val="20"/>
        </w:rPr>
        <w:t xml:space="preserve"> on the Company's production and business plan in 2020 (according to </w:t>
      </w:r>
      <w:r>
        <w:rPr>
          <w:rFonts w:ascii="Arial" w:hAnsi="Arial" w:cs="Arial"/>
          <w:sz w:val="20"/>
          <w:szCs w:val="20"/>
        </w:rPr>
        <w:t>Statement No.67/2020/</w:t>
      </w:r>
      <w:proofErr w:type="spellStart"/>
      <w:r>
        <w:rPr>
          <w:rFonts w:ascii="Arial" w:hAnsi="Arial" w:cs="Arial"/>
          <w:sz w:val="20"/>
          <w:szCs w:val="20"/>
        </w:rPr>
        <w:t>TTr</w:t>
      </w:r>
      <w:proofErr w:type="spellEnd"/>
      <w:r>
        <w:rPr>
          <w:rFonts w:ascii="Arial" w:hAnsi="Arial" w:cs="Arial"/>
          <w:sz w:val="20"/>
          <w:szCs w:val="20"/>
        </w:rPr>
        <w:t xml:space="preserve"> - HDQT dated April 9, 2020)</w:t>
      </w:r>
    </w:p>
    <w:p w:rsidR="00E87EDA" w:rsidRDefault="00E87ED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7EDA">
        <w:rPr>
          <w:rFonts w:ascii="Arial" w:hAnsi="Arial" w:cs="Arial"/>
          <w:sz w:val="20"/>
          <w:szCs w:val="20"/>
        </w:rPr>
        <w:t xml:space="preserve">Business targets in 2020: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"/>
        <w:gridCol w:w="2523"/>
        <w:gridCol w:w="1550"/>
        <w:gridCol w:w="1561"/>
        <w:gridCol w:w="1607"/>
        <w:gridCol w:w="1558"/>
      </w:tblGrid>
      <w:tr w:rsidR="00E87EDA" w:rsidTr="00652227">
        <w:tc>
          <w:tcPr>
            <w:tcW w:w="558" w:type="dxa"/>
          </w:tcPr>
          <w:p w:rsidR="00E87EDA" w:rsidRDefault="00E87EDA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629" w:type="dxa"/>
          </w:tcPr>
          <w:p w:rsidR="00E87EDA" w:rsidRDefault="00E87EDA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1594" w:type="dxa"/>
          </w:tcPr>
          <w:p w:rsidR="00E87EDA" w:rsidRDefault="00E87EDA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</w:t>
            </w:r>
          </w:p>
        </w:tc>
        <w:tc>
          <w:tcPr>
            <w:tcW w:w="1594" w:type="dxa"/>
          </w:tcPr>
          <w:p w:rsidR="00E87EDA" w:rsidRDefault="00E87EDA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Realization 2019</w:t>
            </w:r>
          </w:p>
        </w:tc>
        <w:tc>
          <w:tcPr>
            <w:tcW w:w="1607" w:type="dxa"/>
          </w:tcPr>
          <w:p w:rsidR="00E87EDA" w:rsidRDefault="00E87EDA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2020</w:t>
            </w:r>
          </w:p>
        </w:tc>
        <w:tc>
          <w:tcPr>
            <w:tcW w:w="1594" w:type="dxa"/>
          </w:tcPr>
          <w:p w:rsidR="00E87EDA" w:rsidRDefault="00E87EDA" w:rsidP="00F679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 (decrease)</w:t>
            </w:r>
          </w:p>
        </w:tc>
      </w:tr>
      <w:tr w:rsidR="00E87EDA" w:rsidTr="00652227">
        <w:tc>
          <w:tcPr>
            <w:tcW w:w="558" w:type="dxa"/>
          </w:tcPr>
          <w:p w:rsidR="00E87EDA" w:rsidRDefault="00E87EDA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629" w:type="dxa"/>
          </w:tcPr>
          <w:p w:rsidR="00E87EDA" w:rsidRDefault="00E87EDA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Production indicator</w:t>
            </w:r>
          </w:p>
        </w:tc>
        <w:tc>
          <w:tcPr>
            <w:tcW w:w="1594" w:type="dxa"/>
          </w:tcPr>
          <w:p w:rsidR="00E87EDA" w:rsidRDefault="00E87EDA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M3</w:t>
            </w:r>
          </w:p>
        </w:tc>
        <w:tc>
          <w:tcPr>
            <w:tcW w:w="1594" w:type="dxa"/>
          </w:tcPr>
          <w:p w:rsidR="00E87EDA" w:rsidRDefault="00F67909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EDA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87EDA">
              <w:rPr>
                <w:rFonts w:ascii="Arial" w:hAnsi="Arial" w:cs="Arial"/>
                <w:sz w:val="20"/>
                <w:szCs w:val="20"/>
              </w:rPr>
              <w:t>149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87EDA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1607" w:type="dxa"/>
          </w:tcPr>
          <w:p w:rsidR="00E87EDA" w:rsidRDefault="00F67909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EDA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87EDA">
              <w:rPr>
                <w:rFonts w:ascii="Arial" w:hAnsi="Arial" w:cs="Arial"/>
                <w:sz w:val="20"/>
                <w:szCs w:val="20"/>
              </w:rPr>
              <w:t>732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87EDA">
              <w:rPr>
                <w:rFonts w:ascii="Arial" w:hAnsi="Arial" w:cs="Arial"/>
                <w:sz w:val="20"/>
                <w:szCs w:val="20"/>
              </w:rPr>
              <w:t>417</w:t>
            </w:r>
          </w:p>
        </w:tc>
        <w:tc>
          <w:tcPr>
            <w:tcW w:w="1594" w:type="dxa"/>
          </w:tcPr>
          <w:p w:rsidR="00E87EDA" w:rsidRDefault="00F67909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Pr="00E87EDA">
              <w:rPr>
                <w:rFonts w:ascii="Arial" w:hAnsi="Arial" w:cs="Arial"/>
                <w:sz w:val="20"/>
                <w:szCs w:val="20"/>
              </w:rPr>
              <w:t>37%</w:t>
            </w:r>
          </w:p>
        </w:tc>
      </w:tr>
      <w:tr w:rsidR="00E87EDA" w:rsidTr="00652227">
        <w:tc>
          <w:tcPr>
            <w:tcW w:w="558" w:type="dxa"/>
          </w:tcPr>
          <w:p w:rsidR="00E87EDA" w:rsidRDefault="00E87EDA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29" w:type="dxa"/>
          </w:tcPr>
          <w:p w:rsidR="00E87EDA" w:rsidRDefault="00E87EDA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Water production</w:t>
            </w:r>
          </w:p>
        </w:tc>
        <w:tc>
          <w:tcPr>
            <w:tcW w:w="1594" w:type="dxa"/>
          </w:tcPr>
          <w:p w:rsidR="00E87EDA" w:rsidRDefault="00E87EDA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M3 </w:t>
            </w:r>
          </w:p>
        </w:tc>
        <w:tc>
          <w:tcPr>
            <w:tcW w:w="1594" w:type="dxa"/>
          </w:tcPr>
          <w:p w:rsidR="00E87EDA" w:rsidRDefault="00F67909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EDA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87EDA">
              <w:rPr>
                <w:rFonts w:ascii="Arial" w:hAnsi="Arial" w:cs="Arial"/>
                <w:sz w:val="20"/>
                <w:szCs w:val="20"/>
              </w:rPr>
              <w:t>543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87EDA">
              <w:rPr>
                <w:rFonts w:ascii="Arial" w:hAnsi="Arial" w:cs="Arial"/>
                <w:sz w:val="20"/>
                <w:szCs w:val="20"/>
              </w:rPr>
              <w:t>960</w:t>
            </w:r>
          </w:p>
        </w:tc>
        <w:tc>
          <w:tcPr>
            <w:tcW w:w="1607" w:type="dxa"/>
          </w:tcPr>
          <w:p w:rsidR="00E87EDA" w:rsidRDefault="00F67909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</w:t>
            </w:r>
            <w:r w:rsidRPr="00E87EDA">
              <w:rPr>
                <w:rFonts w:ascii="Arial" w:hAnsi="Arial" w:cs="Arial"/>
                <w:sz w:val="20"/>
                <w:szCs w:val="20"/>
              </w:rPr>
              <w:t>093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87EDA">
              <w:rPr>
                <w:rFonts w:ascii="Arial" w:hAnsi="Arial" w:cs="Arial"/>
                <w:sz w:val="20"/>
                <w:szCs w:val="20"/>
              </w:rPr>
              <w:t>009</w:t>
            </w:r>
          </w:p>
        </w:tc>
        <w:tc>
          <w:tcPr>
            <w:tcW w:w="1594" w:type="dxa"/>
          </w:tcPr>
          <w:p w:rsidR="00E87EDA" w:rsidRDefault="00F67909" w:rsidP="00F679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Pr="00E87EDA">
              <w:rPr>
                <w:rFonts w:ascii="Arial" w:hAnsi="Arial" w:cs="Arial"/>
                <w:sz w:val="20"/>
                <w:szCs w:val="20"/>
              </w:rPr>
              <w:t>28%</w:t>
            </w:r>
          </w:p>
        </w:tc>
      </w:tr>
      <w:tr w:rsidR="00E87EDA" w:rsidTr="00652227">
        <w:tc>
          <w:tcPr>
            <w:tcW w:w="558" w:type="dxa"/>
          </w:tcPr>
          <w:p w:rsidR="00E87EDA" w:rsidRDefault="00E87EDA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29" w:type="dxa"/>
          </w:tcPr>
          <w:p w:rsidR="00E87EDA" w:rsidRDefault="00E87EDA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Commercial water</w:t>
            </w:r>
          </w:p>
        </w:tc>
        <w:tc>
          <w:tcPr>
            <w:tcW w:w="1594" w:type="dxa"/>
          </w:tcPr>
          <w:p w:rsidR="00E87EDA" w:rsidRDefault="00E87EDA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</w:tcPr>
          <w:p w:rsidR="00E87EDA" w:rsidRDefault="00E87EDA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</w:tcPr>
          <w:p w:rsidR="00E87EDA" w:rsidRDefault="00E87EDA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</w:tcPr>
          <w:p w:rsidR="00E87EDA" w:rsidRDefault="00E87EDA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EDA" w:rsidTr="00652227">
        <w:tc>
          <w:tcPr>
            <w:tcW w:w="558" w:type="dxa"/>
          </w:tcPr>
          <w:p w:rsidR="00E87EDA" w:rsidRDefault="00F67909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29" w:type="dxa"/>
          </w:tcPr>
          <w:p w:rsidR="00E87EDA" w:rsidRDefault="00F67909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Average loss rate</w:t>
            </w:r>
          </w:p>
        </w:tc>
        <w:tc>
          <w:tcPr>
            <w:tcW w:w="1594" w:type="dxa"/>
          </w:tcPr>
          <w:p w:rsidR="00E87EDA" w:rsidRDefault="00F67909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594" w:type="dxa"/>
          </w:tcPr>
          <w:p w:rsidR="00E87EDA" w:rsidRDefault="00F67909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17.68</w:t>
            </w:r>
          </w:p>
        </w:tc>
        <w:tc>
          <w:tcPr>
            <w:tcW w:w="1607" w:type="dxa"/>
          </w:tcPr>
          <w:p w:rsidR="00E87EDA" w:rsidRDefault="00F67909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16.84</w:t>
            </w:r>
          </w:p>
        </w:tc>
        <w:tc>
          <w:tcPr>
            <w:tcW w:w="1594" w:type="dxa"/>
          </w:tcPr>
          <w:p w:rsidR="00E87EDA" w:rsidRDefault="00F67909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(0.84)</w:t>
            </w:r>
          </w:p>
        </w:tc>
      </w:tr>
      <w:tr w:rsidR="00E87EDA" w:rsidTr="00652227">
        <w:tc>
          <w:tcPr>
            <w:tcW w:w="558" w:type="dxa"/>
          </w:tcPr>
          <w:p w:rsidR="00E87EDA" w:rsidRDefault="00F67909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29" w:type="dxa"/>
          </w:tcPr>
          <w:p w:rsidR="00E87EDA" w:rsidRDefault="00F67909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Installation of new meter</w:t>
            </w:r>
          </w:p>
        </w:tc>
        <w:tc>
          <w:tcPr>
            <w:tcW w:w="1594" w:type="dxa"/>
          </w:tcPr>
          <w:p w:rsidR="00E87EDA" w:rsidRDefault="00F67909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Meter</w:t>
            </w:r>
          </w:p>
        </w:tc>
        <w:tc>
          <w:tcPr>
            <w:tcW w:w="1594" w:type="dxa"/>
          </w:tcPr>
          <w:p w:rsidR="00E87EDA" w:rsidRDefault="00F67909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2,923</w:t>
            </w:r>
          </w:p>
        </w:tc>
        <w:tc>
          <w:tcPr>
            <w:tcW w:w="1607" w:type="dxa"/>
          </w:tcPr>
          <w:p w:rsidR="00E87EDA" w:rsidRDefault="00F67909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2,219</w:t>
            </w:r>
          </w:p>
        </w:tc>
        <w:tc>
          <w:tcPr>
            <w:tcW w:w="1594" w:type="dxa"/>
          </w:tcPr>
          <w:p w:rsidR="00E87EDA" w:rsidRDefault="00F67909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-24.10%</w:t>
            </w:r>
          </w:p>
        </w:tc>
      </w:tr>
      <w:tr w:rsidR="00F67909" w:rsidTr="00652227">
        <w:tc>
          <w:tcPr>
            <w:tcW w:w="558" w:type="dxa"/>
          </w:tcPr>
          <w:p w:rsidR="00F67909" w:rsidRDefault="00F67909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29" w:type="dxa"/>
          </w:tcPr>
          <w:p w:rsidR="00F67909" w:rsidRDefault="00F67909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Replacement of meter</w:t>
            </w:r>
          </w:p>
        </w:tc>
        <w:tc>
          <w:tcPr>
            <w:tcW w:w="1594" w:type="dxa"/>
          </w:tcPr>
          <w:p w:rsidR="00F67909" w:rsidRDefault="00F67909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Meter</w:t>
            </w:r>
          </w:p>
        </w:tc>
        <w:tc>
          <w:tcPr>
            <w:tcW w:w="1594" w:type="dxa"/>
          </w:tcPr>
          <w:p w:rsidR="00F67909" w:rsidRDefault="00F67909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1,056</w:t>
            </w:r>
          </w:p>
        </w:tc>
        <w:tc>
          <w:tcPr>
            <w:tcW w:w="1607" w:type="dxa"/>
          </w:tcPr>
          <w:p w:rsidR="00F67909" w:rsidRDefault="00F67909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2,500</w:t>
            </w:r>
          </w:p>
        </w:tc>
        <w:tc>
          <w:tcPr>
            <w:tcW w:w="1594" w:type="dxa"/>
          </w:tcPr>
          <w:p w:rsidR="00F67909" w:rsidRDefault="00F67909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136.74%</w:t>
            </w:r>
          </w:p>
        </w:tc>
      </w:tr>
      <w:tr w:rsidR="00F67909" w:rsidTr="00652227">
        <w:tc>
          <w:tcPr>
            <w:tcW w:w="558" w:type="dxa"/>
          </w:tcPr>
          <w:p w:rsidR="00F67909" w:rsidRDefault="00F67909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2629" w:type="dxa"/>
          </w:tcPr>
          <w:p w:rsidR="00F67909" w:rsidRDefault="00F67909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Restoring customers using water</w:t>
            </w:r>
          </w:p>
        </w:tc>
        <w:tc>
          <w:tcPr>
            <w:tcW w:w="1594" w:type="dxa"/>
          </w:tcPr>
          <w:p w:rsidR="00F67909" w:rsidRDefault="00F67909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</w:t>
            </w:r>
          </w:p>
        </w:tc>
        <w:tc>
          <w:tcPr>
            <w:tcW w:w="1594" w:type="dxa"/>
          </w:tcPr>
          <w:p w:rsidR="00F67909" w:rsidRDefault="00F67909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1,540</w:t>
            </w:r>
          </w:p>
        </w:tc>
        <w:tc>
          <w:tcPr>
            <w:tcW w:w="1607" w:type="dxa"/>
          </w:tcPr>
          <w:p w:rsidR="00F67909" w:rsidRDefault="00F67909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94" w:type="dxa"/>
          </w:tcPr>
          <w:p w:rsidR="00F67909" w:rsidRDefault="00F67909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-61.04%</w:t>
            </w:r>
          </w:p>
        </w:tc>
      </w:tr>
      <w:tr w:rsidR="00F67909" w:rsidTr="00652227">
        <w:tc>
          <w:tcPr>
            <w:tcW w:w="558" w:type="dxa"/>
          </w:tcPr>
          <w:p w:rsidR="00F67909" w:rsidRDefault="00F67909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2629" w:type="dxa"/>
          </w:tcPr>
          <w:p w:rsidR="00F67909" w:rsidRDefault="00F67909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Financial indicator</w:t>
            </w:r>
          </w:p>
        </w:tc>
        <w:tc>
          <w:tcPr>
            <w:tcW w:w="1594" w:type="dxa"/>
          </w:tcPr>
          <w:p w:rsidR="00F67909" w:rsidRDefault="00F67909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</w:tcPr>
          <w:p w:rsidR="00F67909" w:rsidRDefault="00F67909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</w:tcPr>
          <w:p w:rsidR="00F67909" w:rsidRDefault="00F67909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</w:tcPr>
          <w:p w:rsidR="00F67909" w:rsidRDefault="00F67909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909" w:rsidTr="00652227">
        <w:tc>
          <w:tcPr>
            <w:tcW w:w="558" w:type="dxa"/>
          </w:tcPr>
          <w:p w:rsidR="00F67909" w:rsidRDefault="00F67909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29" w:type="dxa"/>
          </w:tcPr>
          <w:p w:rsidR="00F67909" w:rsidRDefault="00F67909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revenue, in which:</w:t>
            </w:r>
          </w:p>
        </w:tc>
        <w:tc>
          <w:tcPr>
            <w:tcW w:w="1594" w:type="dxa"/>
          </w:tcPr>
          <w:p w:rsidR="00F67909" w:rsidRDefault="00F67909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1594" w:type="dxa"/>
          </w:tcPr>
          <w:p w:rsidR="00F67909" w:rsidRDefault="00F67909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85,991</w:t>
            </w:r>
          </w:p>
        </w:tc>
        <w:tc>
          <w:tcPr>
            <w:tcW w:w="1607" w:type="dxa"/>
          </w:tcPr>
          <w:p w:rsidR="00F67909" w:rsidRDefault="00F67909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96,530</w:t>
            </w:r>
          </w:p>
        </w:tc>
        <w:tc>
          <w:tcPr>
            <w:tcW w:w="1594" w:type="dxa"/>
          </w:tcPr>
          <w:p w:rsidR="00F67909" w:rsidRDefault="00F67909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12.26%</w:t>
            </w:r>
          </w:p>
        </w:tc>
      </w:tr>
      <w:tr w:rsidR="00F67909" w:rsidTr="00652227">
        <w:tc>
          <w:tcPr>
            <w:tcW w:w="558" w:type="dxa"/>
          </w:tcPr>
          <w:p w:rsidR="00F67909" w:rsidRDefault="00F67909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29" w:type="dxa"/>
          </w:tcPr>
          <w:p w:rsidR="00F67909" w:rsidRDefault="00F67909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expense</w:t>
            </w:r>
          </w:p>
        </w:tc>
        <w:tc>
          <w:tcPr>
            <w:tcW w:w="1594" w:type="dxa"/>
          </w:tcPr>
          <w:p w:rsidR="00F67909" w:rsidRDefault="00F67909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1594" w:type="dxa"/>
          </w:tcPr>
          <w:p w:rsidR="00F67909" w:rsidRDefault="00F67909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82,197</w:t>
            </w:r>
          </w:p>
        </w:tc>
        <w:tc>
          <w:tcPr>
            <w:tcW w:w="1607" w:type="dxa"/>
          </w:tcPr>
          <w:p w:rsidR="00F67909" w:rsidRDefault="00F67909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90,157</w:t>
            </w:r>
          </w:p>
        </w:tc>
        <w:tc>
          <w:tcPr>
            <w:tcW w:w="1594" w:type="dxa"/>
          </w:tcPr>
          <w:p w:rsidR="00F67909" w:rsidRDefault="00F67909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9.69%</w:t>
            </w:r>
          </w:p>
        </w:tc>
      </w:tr>
      <w:tr w:rsidR="00F67909" w:rsidTr="00652227">
        <w:tc>
          <w:tcPr>
            <w:tcW w:w="558" w:type="dxa"/>
          </w:tcPr>
          <w:p w:rsidR="00F67909" w:rsidRDefault="00F67909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29" w:type="dxa"/>
          </w:tcPr>
          <w:p w:rsidR="00F67909" w:rsidRDefault="00F67909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before tax </w:t>
            </w:r>
          </w:p>
        </w:tc>
        <w:tc>
          <w:tcPr>
            <w:tcW w:w="1594" w:type="dxa"/>
          </w:tcPr>
          <w:p w:rsidR="00F67909" w:rsidRDefault="00F67909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1594" w:type="dxa"/>
          </w:tcPr>
          <w:p w:rsidR="00F67909" w:rsidRDefault="00F67909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3,794</w:t>
            </w:r>
          </w:p>
        </w:tc>
        <w:tc>
          <w:tcPr>
            <w:tcW w:w="1607" w:type="dxa"/>
          </w:tcPr>
          <w:p w:rsidR="00F67909" w:rsidRDefault="00F67909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6,372</w:t>
            </w:r>
          </w:p>
        </w:tc>
        <w:tc>
          <w:tcPr>
            <w:tcW w:w="1594" w:type="dxa"/>
          </w:tcPr>
          <w:p w:rsidR="00F67909" w:rsidRDefault="00F67909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67.95%</w:t>
            </w:r>
          </w:p>
        </w:tc>
      </w:tr>
      <w:tr w:rsidR="00F67909" w:rsidTr="00652227">
        <w:tc>
          <w:tcPr>
            <w:tcW w:w="558" w:type="dxa"/>
          </w:tcPr>
          <w:p w:rsidR="00F67909" w:rsidRDefault="00F67909" w:rsidP="00F679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29" w:type="dxa"/>
          </w:tcPr>
          <w:p w:rsidR="00F67909" w:rsidRDefault="00F67909" w:rsidP="00F679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Ebitda</w:t>
            </w:r>
            <w:proofErr w:type="spellEnd"/>
          </w:p>
        </w:tc>
        <w:tc>
          <w:tcPr>
            <w:tcW w:w="1594" w:type="dxa"/>
          </w:tcPr>
          <w:p w:rsidR="00F67909" w:rsidRDefault="00F67909" w:rsidP="00F679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1594" w:type="dxa"/>
          </w:tcPr>
          <w:p w:rsidR="00F67909" w:rsidRDefault="00F67909" w:rsidP="00F679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43,189</w:t>
            </w:r>
          </w:p>
        </w:tc>
        <w:tc>
          <w:tcPr>
            <w:tcW w:w="1607" w:type="dxa"/>
          </w:tcPr>
          <w:p w:rsidR="00F67909" w:rsidRDefault="00F67909" w:rsidP="00F679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49,476</w:t>
            </w:r>
          </w:p>
        </w:tc>
        <w:tc>
          <w:tcPr>
            <w:tcW w:w="1594" w:type="dxa"/>
          </w:tcPr>
          <w:p w:rsidR="00F67909" w:rsidRDefault="00F67909" w:rsidP="00F679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14.56%</w:t>
            </w:r>
          </w:p>
        </w:tc>
      </w:tr>
      <w:tr w:rsidR="00F67909" w:rsidTr="00652227">
        <w:tc>
          <w:tcPr>
            <w:tcW w:w="558" w:type="dxa"/>
          </w:tcPr>
          <w:p w:rsidR="00F67909" w:rsidRDefault="00F67909" w:rsidP="00F679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2629" w:type="dxa"/>
          </w:tcPr>
          <w:p w:rsidR="00F67909" w:rsidRDefault="00F67909" w:rsidP="00F679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Investment plan in 2020</w:t>
            </w:r>
          </w:p>
        </w:tc>
        <w:tc>
          <w:tcPr>
            <w:tcW w:w="1594" w:type="dxa"/>
          </w:tcPr>
          <w:p w:rsidR="00F67909" w:rsidRDefault="00F67909" w:rsidP="00F679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1594" w:type="dxa"/>
          </w:tcPr>
          <w:p w:rsidR="00F67909" w:rsidRDefault="00F67909" w:rsidP="00F679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</w:tcPr>
          <w:p w:rsidR="00F67909" w:rsidRDefault="00F67909" w:rsidP="00F679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57,197,505,223</w:t>
            </w:r>
          </w:p>
        </w:tc>
        <w:tc>
          <w:tcPr>
            <w:tcW w:w="1594" w:type="dxa"/>
          </w:tcPr>
          <w:p w:rsidR="00F67909" w:rsidRDefault="00F67909" w:rsidP="00F679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909" w:rsidTr="00652227">
        <w:tc>
          <w:tcPr>
            <w:tcW w:w="558" w:type="dxa"/>
          </w:tcPr>
          <w:p w:rsidR="00F67909" w:rsidRDefault="00F67909" w:rsidP="00F679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29" w:type="dxa"/>
          </w:tcPr>
          <w:p w:rsidR="00F67909" w:rsidRDefault="00F67909" w:rsidP="00F679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Investment in expanding the pipe system</w:t>
            </w:r>
          </w:p>
        </w:tc>
        <w:tc>
          <w:tcPr>
            <w:tcW w:w="1594" w:type="dxa"/>
          </w:tcPr>
          <w:p w:rsidR="00F67909" w:rsidRDefault="00F67909" w:rsidP="00F679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1594" w:type="dxa"/>
          </w:tcPr>
          <w:p w:rsidR="00F67909" w:rsidRDefault="00F67909" w:rsidP="00F679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</w:tcPr>
          <w:p w:rsidR="00F67909" w:rsidRDefault="00F67909" w:rsidP="00F679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12,636,543,548</w:t>
            </w:r>
          </w:p>
        </w:tc>
        <w:tc>
          <w:tcPr>
            <w:tcW w:w="1594" w:type="dxa"/>
          </w:tcPr>
          <w:p w:rsidR="00F67909" w:rsidRDefault="00F67909" w:rsidP="00F679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909" w:rsidTr="00652227">
        <w:tc>
          <w:tcPr>
            <w:tcW w:w="558" w:type="dxa"/>
          </w:tcPr>
          <w:p w:rsidR="00F67909" w:rsidRDefault="00F67909" w:rsidP="00F679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29" w:type="dxa"/>
          </w:tcPr>
          <w:p w:rsidR="00F67909" w:rsidRDefault="00652227" w:rsidP="00F679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Investment in meter cluster (free)</w:t>
            </w:r>
          </w:p>
        </w:tc>
        <w:tc>
          <w:tcPr>
            <w:tcW w:w="1594" w:type="dxa"/>
          </w:tcPr>
          <w:p w:rsidR="00F67909" w:rsidRDefault="00652227" w:rsidP="00F679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1594" w:type="dxa"/>
          </w:tcPr>
          <w:p w:rsidR="00F67909" w:rsidRDefault="00F67909" w:rsidP="00F679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</w:tcPr>
          <w:p w:rsidR="00F67909" w:rsidRDefault="00652227" w:rsidP="00F679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1,196,961,675</w:t>
            </w:r>
          </w:p>
        </w:tc>
        <w:tc>
          <w:tcPr>
            <w:tcW w:w="1594" w:type="dxa"/>
          </w:tcPr>
          <w:p w:rsidR="00F67909" w:rsidRDefault="00F67909" w:rsidP="00F679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227" w:rsidTr="00652227">
        <w:tc>
          <w:tcPr>
            <w:tcW w:w="558" w:type="dxa"/>
          </w:tcPr>
          <w:p w:rsidR="00652227" w:rsidRDefault="00652227" w:rsidP="00F679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29" w:type="dxa"/>
          </w:tcPr>
          <w:p w:rsidR="00652227" w:rsidRDefault="00652227" w:rsidP="00F679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Investment in preventing loss</w:t>
            </w:r>
          </w:p>
        </w:tc>
        <w:tc>
          <w:tcPr>
            <w:tcW w:w="1594" w:type="dxa"/>
          </w:tcPr>
          <w:p w:rsidR="00652227" w:rsidRDefault="00652227" w:rsidP="00F679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1594" w:type="dxa"/>
          </w:tcPr>
          <w:p w:rsidR="00652227" w:rsidRDefault="00652227" w:rsidP="00F679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</w:tcPr>
          <w:p w:rsidR="00652227" w:rsidRDefault="00652227" w:rsidP="00F679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6,500,000,000</w:t>
            </w:r>
          </w:p>
        </w:tc>
        <w:tc>
          <w:tcPr>
            <w:tcW w:w="1594" w:type="dxa"/>
          </w:tcPr>
          <w:p w:rsidR="00652227" w:rsidRDefault="00652227" w:rsidP="00F679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909" w:rsidTr="00652227">
        <w:tc>
          <w:tcPr>
            <w:tcW w:w="558" w:type="dxa"/>
          </w:tcPr>
          <w:p w:rsidR="00F67909" w:rsidRDefault="00652227" w:rsidP="00F679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29" w:type="dxa"/>
          </w:tcPr>
          <w:p w:rsidR="00F67909" w:rsidRDefault="00652227" w:rsidP="0065222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652227">
              <w:rPr>
                <w:rFonts w:ascii="Arial" w:hAnsi="Arial" w:cs="Arial"/>
                <w:sz w:val="20"/>
                <w:szCs w:val="20"/>
              </w:rPr>
              <w:t>nvestment</w:t>
            </w:r>
            <w:r>
              <w:rPr>
                <w:rFonts w:ascii="Arial" w:hAnsi="Arial" w:cs="Arial"/>
                <w:sz w:val="20"/>
                <w:szCs w:val="20"/>
              </w:rPr>
              <w:t xml:space="preserve"> in</w:t>
            </w:r>
            <w:r w:rsidRPr="00652227">
              <w:rPr>
                <w:rFonts w:ascii="Arial" w:hAnsi="Arial" w:cs="Arial"/>
                <w:sz w:val="20"/>
                <w:szCs w:val="20"/>
              </w:rPr>
              <w:t xml:space="preserve"> automation </w:t>
            </w:r>
          </w:p>
        </w:tc>
        <w:tc>
          <w:tcPr>
            <w:tcW w:w="1594" w:type="dxa"/>
          </w:tcPr>
          <w:p w:rsidR="00F67909" w:rsidRDefault="00652227" w:rsidP="00F679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1594" w:type="dxa"/>
          </w:tcPr>
          <w:p w:rsidR="00F67909" w:rsidRDefault="00F67909" w:rsidP="00F679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</w:tcPr>
          <w:p w:rsidR="00F67909" w:rsidRDefault="00652227" w:rsidP="00F679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10,000,000,000</w:t>
            </w:r>
          </w:p>
        </w:tc>
        <w:tc>
          <w:tcPr>
            <w:tcW w:w="1594" w:type="dxa"/>
          </w:tcPr>
          <w:p w:rsidR="00F67909" w:rsidRDefault="00F67909" w:rsidP="00F679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909" w:rsidTr="00652227">
        <w:tc>
          <w:tcPr>
            <w:tcW w:w="558" w:type="dxa"/>
          </w:tcPr>
          <w:p w:rsidR="00F67909" w:rsidRDefault="00652227" w:rsidP="00F679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29" w:type="dxa"/>
          </w:tcPr>
          <w:p w:rsidR="00F67909" w:rsidRDefault="00652227" w:rsidP="00F679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Investment in </w:t>
            </w:r>
            <w:r w:rsidRPr="00652227">
              <w:rPr>
                <w:rFonts w:ascii="Arial" w:hAnsi="Arial" w:cs="Arial"/>
                <w:sz w:val="20"/>
                <w:szCs w:val="20"/>
              </w:rPr>
              <w:t>factory renovation</w:t>
            </w:r>
          </w:p>
        </w:tc>
        <w:tc>
          <w:tcPr>
            <w:tcW w:w="1594" w:type="dxa"/>
          </w:tcPr>
          <w:p w:rsidR="00F67909" w:rsidRDefault="00652227" w:rsidP="00F679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1594" w:type="dxa"/>
          </w:tcPr>
          <w:p w:rsidR="00F67909" w:rsidRDefault="00F67909" w:rsidP="00F679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</w:tcPr>
          <w:p w:rsidR="00F67909" w:rsidRDefault="00652227" w:rsidP="00F679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26,864,000,000</w:t>
            </w:r>
          </w:p>
        </w:tc>
        <w:tc>
          <w:tcPr>
            <w:tcW w:w="1594" w:type="dxa"/>
          </w:tcPr>
          <w:p w:rsidR="00F67909" w:rsidRDefault="00F67909" w:rsidP="00F679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2227" w:rsidRDefault="00652227" w:rsidP="0065222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52227" w:rsidRDefault="00652227" w:rsidP="006522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5:</w:t>
      </w:r>
      <w:r w:rsidRPr="00652227">
        <w:rPr>
          <w:rFonts w:ascii="Arial" w:hAnsi="Arial" w:cs="Arial"/>
          <w:sz w:val="20"/>
          <w:szCs w:val="20"/>
        </w:rPr>
        <w:t xml:space="preserve"> Approving the Proposal on selecting </w:t>
      </w:r>
      <w:r>
        <w:rPr>
          <w:rFonts w:ascii="Arial" w:hAnsi="Arial" w:cs="Arial"/>
          <w:sz w:val="20"/>
          <w:szCs w:val="20"/>
        </w:rPr>
        <w:t xml:space="preserve">an </w:t>
      </w:r>
      <w:r w:rsidRPr="00652227">
        <w:rPr>
          <w:rFonts w:ascii="Arial" w:hAnsi="Arial" w:cs="Arial"/>
          <w:sz w:val="20"/>
          <w:szCs w:val="20"/>
        </w:rPr>
        <w:t>independent auditing firm to audit the</w:t>
      </w:r>
      <w:r>
        <w:rPr>
          <w:rFonts w:ascii="Arial" w:hAnsi="Arial" w:cs="Arial"/>
          <w:sz w:val="20"/>
          <w:szCs w:val="20"/>
        </w:rPr>
        <w:t xml:space="preserve"> Company's financial statement </w:t>
      </w:r>
      <w:r w:rsidRPr="00652227">
        <w:rPr>
          <w:rFonts w:ascii="Arial" w:hAnsi="Arial" w:cs="Arial"/>
          <w:sz w:val="20"/>
          <w:szCs w:val="20"/>
        </w:rPr>
        <w:t xml:space="preserve">in 2020 (according to the content of </w:t>
      </w:r>
      <w:r>
        <w:rPr>
          <w:rFonts w:ascii="Arial" w:hAnsi="Arial" w:cs="Arial"/>
          <w:sz w:val="20"/>
          <w:szCs w:val="20"/>
        </w:rPr>
        <w:t>Statement No.01/2020/</w:t>
      </w:r>
      <w:proofErr w:type="spellStart"/>
      <w:r>
        <w:rPr>
          <w:rFonts w:ascii="Arial" w:hAnsi="Arial" w:cs="Arial"/>
          <w:sz w:val="20"/>
          <w:szCs w:val="20"/>
        </w:rPr>
        <w:t>TTr</w:t>
      </w:r>
      <w:proofErr w:type="spellEnd"/>
      <w:r>
        <w:rPr>
          <w:rFonts w:ascii="Arial" w:hAnsi="Arial" w:cs="Arial"/>
          <w:sz w:val="20"/>
          <w:szCs w:val="20"/>
        </w:rPr>
        <w:t xml:space="preserve"> - BKS dated April 9, 2020)</w:t>
      </w:r>
    </w:p>
    <w:p w:rsidR="009F619C" w:rsidRDefault="00652227" w:rsidP="006522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6: </w:t>
      </w:r>
      <w:r w:rsidRPr="00652227">
        <w:rPr>
          <w:rFonts w:ascii="Arial" w:hAnsi="Arial" w:cs="Arial"/>
          <w:sz w:val="20"/>
          <w:szCs w:val="20"/>
        </w:rPr>
        <w:t xml:space="preserve">Approve the audited </w:t>
      </w:r>
      <w:r>
        <w:rPr>
          <w:rFonts w:ascii="Arial" w:hAnsi="Arial" w:cs="Arial"/>
          <w:sz w:val="20"/>
          <w:szCs w:val="20"/>
        </w:rPr>
        <w:t>financial statement of</w:t>
      </w:r>
      <w:r w:rsidR="009F619C">
        <w:rPr>
          <w:rFonts w:ascii="Arial" w:hAnsi="Arial" w:cs="Arial"/>
          <w:sz w:val="20"/>
          <w:szCs w:val="20"/>
        </w:rPr>
        <w:t xml:space="preserve"> 2019 (according to Statement No.65/2020/</w:t>
      </w:r>
      <w:proofErr w:type="spellStart"/>
      <w:r w:rsidRPr="00652227">
        <w:rPr>
          <w:rFonts w:ascii="Arial" w:hAnsi="Arial" w:cs="Arial"/>
          <w:sz w:val="20"/>
          <w:szCs w:val="20"/>
        </w:rPr>
        <w:t>T</w:t>
      </w:r>
      <w:r w:rsidR="009F619C">
        <w:rPr>
          <w:rFonts w:ascii="Arial" w:hAnsi="Arial" w:cs="Arial"/>
          <w:sz w:val="20"/>
          <w:szCs w:val="20"/>
        </w:rPr>
        <w:t>Tr</w:t>
      </w:r>
      <w:proofErr w:type="spellEnd"/>
      <w:r w:rsidR="009F619C">
        <w:rPr>
          <w:rFonts w:ascii="Arial" w:hAnsi="Arial" w:cs="Arial"/>
          <w:sz w:val="20"/>
          <w:szCs w:val="20"/>
        </w:rPr>
        <w:t xml:space="preserve"> - HDQT dated April 9, 2020)</w:t>
      </w:r>
    </w:p>
    <w:p w:rsidR="009F619C" w:rsidRDefault="009F619C" w:rsidP="006522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Article:</w:t>
      </w:r>
      <w:r w:rsidR="00652227" w:rsidRPr="00652227">
        <w:rPr>
          <w:rFonts w:ascii="Arial" w:hAnsi="Arial" w:cs="Arial"/>
          <w:sz w:val="20"/>
          <w:szCs w:val="20"/>
        </w:rPr>
        <w:t xml:space="preserve"> Approve the Statement</w:t>
      </w:r>
      <w:r>
        <w:rPr>
          <w:rFonts w:ascii="Arial" w:hAnsi="Arial" w:cs="Arial"/>
          <w:sz w:val="20"/>
          <w:szCs w:val="20"/>
        </w:rPr>
        <w:t xml:space="preserve"> on</w:t>
      </w:r>
      <w:r w:rsidR="00652227" w:rsidRPr="00652227">
        <w:rPr>
          <w:rFonts w:ascii="Arial" w:hAnsi="Arial" w:cs="Arial"/>
          <w:sz w:val="20"/>
          <w:szCs w:val="20"/>
        </w:rPr>
        <w:t xml:space="preserve"> allowing DNPW water joint stock company to own more than 51% of BPW's shares without a public tender (according to </w:t>
      </w:r>
      <w:r>
        <w:rPr>
          <w:rFonts w:ascii="Arial" w:hAnsi="Arial" w:cs="Arial"/>
          <w:sz w:val="20"/>
          <w:szCs w:val="20"/>
        </w:rPr>
        <w:t>Statement No.</w:t>
      </w:r>
      <w:r w:rsidR="00652227" w:rsidRPr="00652227">
        <w:rPr>
          <w:rFonts w:ascii="Arial" w:hAnsi="Arial" w:cs="Arial"/>
          <w:sz w:val="20"/>
          <w:szCs w:val="20"/>
        </w:rPr>
        <w:t>68/2020</w:t>
      </w:r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TTr</w:t>
      </w:r>
      <w:proofErr w:type="spellEnd"/>
      <w:r>
        <w:rPr>
          <w:rFonts w:ascii="Arial" w:hAnsi="Arial" w:cs="Arial"/>
          <w:sz w:val="20"/>
          <w:szCs w:val="20"/>
        </w:rPr>
        <w:t xml:space="preserve"> - HD</w:t>
      </w:r>
      <w:r w:rsidR="00652227" w:rsidRPr="00652227">
        <w:rPr>
          <w:rFonts w:ascii="Arial" w:hAnsi="Arial" w:cs="Arial"/>
          <w:sz w:val="20"/>
          <w:szCs w:val="20"/>
        </w:rPr>
        <w:t xml:space="preserve">QT </w:t>
      </w:r>
      <w:r>
        <w:rPr>
          <w:rFonts w:ascii="Arial" w:hAnsi="Arial" w:cs="Arial"/>
          <w:sz w:val="20"/>
          <w:szCs w:val="20"/>
        </w:rPr>
        <w:t>dated April 9</w:t>
      </w:r>
      <w:r w:rsidRPr="009F619C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>,</w:t>
      </w:r>
      <w:r w:rsidR="00652227" w:rsidRPr="00652227">
        <w:rPr>
          <w:rFonts w:ascii="Arial" w:hAnsi="Arial" w:cs="Arial"/>
          <w:sz w:val="20"/>
          <w:szCs w:val="20"/>
        </w:rPr>
        <w:t xml:space="preserve"> 2020) </w:t>
      </w:r>
    </w:p>
    <w:p w:rsidR="00E87EDA" w:rsidRDefault="009F619C" w:rsidP="006522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8: Approve the Statement on</w:t>
      </w:r>
      <w:r w:rsidR="00652227" w:rsidRPr="00652227">
        <w:rPr>
          <w:rFonts w:ascii="Arial" w:hAnsi="Arial" w:cs="Arial"/>
          <w:sz w:val="20"/>
          <w:szCs w:val="20"/>
        </w:rPr>
        <w:t xml:space="preserve"> supplementing business lines (according to </w:t>
      </w:r>
      <w:r>
        <w:rPr>
          <w:rFonts w:ascii="Arial" w:hAnsi="Arial" w:cs="Arial"/>
          <w:sz w:val="20"/>
          <w:szCs w:val="20"/>
        </w:rPr>
        <w:t>Statement No. 78/2020</w:t>
      </w:r>
      <w:r w:rsidR="00652227" w:rsidRPr="00652227">
        <w:rPr>
          <w:rFonts w:ascii="Arial" w:hAnsi="Arial" w:cs="Arial"/>
          <w:sz w:val="20"/>
          <w:szCs w:val="20"/>
        </w:rPr>
        <w:t>/</w:t>
      </w:r>
      <w:proofErr w:type="spellStart"/>
      <w:r w:rsidR="00652227" w:rsidRPr="00652227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Tr</w:t>
      </w:r>
      <w:proofErr w:type="spellEnd"/>
      <w:r>
        <w:rPr>
          <w:rFonts w:ascii="Arial" w:hAnsi="Arial" w:cs="Arial"/>
          <w:sz w:val="20"/>
          <w:szCs w:val="20"/>
        </w:rPr>
        <w:t xml:space="preserve"> - HDQT dated April 21, 2020)</w:t>
      </w:r>
    </w:p>
    <w:p w:rsidR="009F619C" w:rsidRDefault="009F619C" w:rsidP="006522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9: Approve</w:t>
      </w:r>
      <w:r w:rsidRPr="009F619C">
        <w:rPr>
          <w:rFonts w:ascii="Arial" w:hAnsi="Arial" w:cs="Arial"/>
          <w:sz w:val="20"/>
          <w:szCs w:val="20"/>
        </w:rPr>
        <w:t xml:space="preserve"> the dismissal of the position of Member of the Board of Directors </w:t>
      </w:r>
      <w:r>
        <w:rPr>
          <w:rFonts w:ascii="Arial" w:hAnsi="Arial" w:cs="Arial"/>
          <w:sz w:val="20"/>
          <w:szCs w:val="20"/>
        </w:rPr>
        <w:t>for</w:t>
      </w:r>
      <w:r w:rsidRPr="009F619C">
        <w:rPr>
          <w:rFonts w:ascii="Arial" w:hAnsi="Arial" w:cs="Arial"/>
          <w:sz w:val="20"/>
          <w:szCs w:val="20"/>
        </w:rPr>
        <w:t xml:space="preserve"> Mr. Ngo </w:t>
      </w:r>
      <w:proofErr w:type="spellStart"/>
      <w:r w:rsidRPr="009F619C">
        <w:rPr>
          <w:rFonts w:ascii="Arial" w:hAnsi="Arial" w:cs="Arial"/>
          <w:sz w:val="20"/>
          <w:szCs w:val="20"/>
        </w:rPr>
        <w:t>Duc</w:t>
      </w:r>
      <w:proofErr w:type="spellEnd"/>
      <w:r w:rsidRPr="009F619C">
        <w:rPr>
          <w:rFonts w:ascii="Arial" w:hAnsi="Arial" w:cs="Arial"/>
          <w:sz w:val="20"/>
          <w:szCs w:val="20"/>
        </w:rPr>
        <w:t xml:space="preserve"> Vu.  Time of dismissal</w:t>
      </w:r>
      <w:r>
        <w:rPr>
          <w:rFonts w:ascii="Arial" w:hAnsi="Arial" w:cs="Arial"/>
          <w:sz w:val="20"/>
          <w:szCs w:val="20"/>
        </w:rPr>
        <w:t>: from April 24, 2020;</w:t>
      </w:r>
      <w:r w:rsidRPr="009F619C">
        <w:rPr>
          <w:rFonts w:ascii="Arial" w:hAnsi="Arial" w:cs="Arial"/>
          <w:sz w:val="20"/>
          <w:szCs w:val="20"/>
        </w:rPr>
        <w:t xml:space="preserve"> Assigning the </w:t>
      </w:r>
      <w:r>
        <w:rPr>
          <w:rFonts w:ascii="Arial" w:hAnsi="Arial" w:cs="Arial"/>
          <w:sz w:val="20"/>
          <w:szCs w:val="20"/>
        </w:rPr>
        <w:t>Management Board</w:t>
      </w:r>
      <w:r w:rsidRPr="009F619C">
        <w:rPr>
          <w:rFonts w:ascii="Arial" w:hAnsi="Arial" w:cs="Arial"/>
          <w:sz w:val="20"/>
          <w:szCs w:val="20"/>
        </w:rPr>
        <w:t xml:space="preserve"> to review and resolve the rights and benefits of Mr. Ngo </w:t>
      </w:r>
      <w:proofErr w:type="spellStart"/>
      <w:r w:rsidRPr="009F619C">
        <w:rPr>
          <w:rFonts w:ascii="Arial" w:hAnsi="Arial" w:cs="Arial"/>
          <w:sz w:val="20"/>
          <w:szCs w:val="20"/>
        </w:rPr>
        <w:t>Duc</w:t>
      </w:r>
      <w:proofErr w:type="spellEnd"/>
      <w:r w:rsidRPr="009F619C">
        <w:rPr>
          <w:rFonts w:ascii="Arial" w:hAnsi="Arial" w:cs="Arial"/>
          <w:sz w:val="20"/>
          <w:szCs w:val="20"/>
        </w:rPr>
        <w:t xml:space="preserve"> Vu in accordance with the Company's</w:t>
      </w:r>
      <w:r>
        <w:rPr>
          <w:rFonts w:ascii="Arial" w:hAnsi="Arial" w:cs="Arial"/>
          <w:sz w:val="20"/>
          <w:szCs w:val="20"/>
        </w:rPr>
        <w:t xml:space="preserve"> regulations and relevant laws</w:t>
      </w:r>
    </w:p>
    <w:p w:rsidR="009F619C" w:rsidRDefault="009F619C" w:rsidP="006522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F619C">
        <w:rPr>
          <w:rFonts w:ascii="Arial" w:hAnsi="Arial" w:cs="Arial"/>
          <w:sz w:val="20"/>
          <w:szCs w:val="20"/>
        </w:rPr>
        <w:t>Arti</w:t>
      </w:r>
      <w:r>
        <w:rPr>
          <w:rFonts w:ascii="Arial" w:hAnsi="Arial" w:cs="Arial"/>
          <w:sz w:val="20"/>
          <w:szCs w:val="20"/>
        </w:rPr>
        <w:t>cle 10:</w:t>
      </w:r>
      <w:r w:rsidRPr="009F61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Electing Mr. Ho Viet Ha to be </w:t>
      </w:r>
      <w:r w:rsidRPr="009F619C">
        <w:rPr>
          <w:rFonts w:ascii="Arial" w:hAnsi="Arial" w:cs="Arial"/>
          <w:sz w:val="20"/>
          <w:szCs w:val="20"/>
        </w:rPr>
        <w:t>member of the Boar</w:t>
      </w:r>
      <w:r>
        <w:rPr>
          <w:rFonts w:ascii="Arial" w:hAnsi="Arial" w:cs="Arial"/>
          <w:sz w:val="20"/>
          <w:szCs w:val="20"/>
        </w:rPr>
        <w:t xml:space="preserve">d of Directors of the Company. </w:t>
      </w:r>
      <w:r w:rsidRPr="009F619C">
        <w:rPr>
          <w:rFonts w:ascii="Arial" w:hAnsi="Arial" w:cs="Arial"/>
          <w:sz w:val="20"/>
          <w:szCs w:val="20"/>
        </w:rPr>
        <w:t xml:space="preserve">The term of the new </w:t>
      </w:r>
      <w:r>
        <w:rPr>
          <w:rFonts w:ascii="Arial" w:hAnsi="Arial" w:cs="Arial"/>
          <w:sz w:val="20"/>
          <w:szCs w:val="20"/>
        </w:rPr>
        <w:t xml:space="preserve">member of Board of Directors is </w:t>
      </w:r>
      <w:r w:rsidRPr="009F619C">
        <w:rPr>
          <w:rFonts w:ascii="Arial" w:hAnsi="Arial" w:cs="Arial"/>
          <w:sz w:val="20"/>
          <w:szCs w:val="20"/>
        </w:rPr>
        <w:t>the remaining term of the current B</w:t>
      </w:r>
      <w:r>
        <w:rPr>
          <w:rFonts w:ascii="Arial" w:hAnsi="Arial" w:cs="Arial"/>
          <w:sz w:val="20"/>
          <w:szCs w:val="20"/>
        </w:rPr>
        <w:t>oard of Directors (2017 - 2021)</w:t>
      </w:r>
    </w:p>
    <w:p w:rsidR="009F619C" w:rsidRPr="00652227" w:rsidRDefault="009F619C" w:rsidP="006522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Article 11: </w:t>
      </w:r>
      <w:r w:rsidRPr="009F619C">
        <w:rPr>
          <w:rFonts w:ascii="Arial" w:hAnsi="Arial" w:cs="Arial"/>
          <w:sz w:val="20"/>
          <w:szCs w:val="20"/>
        </w:rPr>
        <w:t xml:space="preserve">This </w:t>
      </w:r>
      <w:r>
        <w:rPr>
          <w:rFonts w:ascii="Arial" w:hAnsi="Arial" w:cs="Arial"/>
          <w:sz w:val="20"/>
          <w:szCs w:val="20"/>
        </w:rPr>
        <w:t>General Mandate</w:t>
      </w:r>
      <w:r w:rsidRPr="009F619C">
        <w:rPr>
          <w:rFonts w:ascii="Arial" w:hAnsi="Arial" w:cs="Arial"/>
          <w:sz w:val="20"/>
          <w:szCs w:val="20"/>
        </w:rPr>
        <w:t xml:space="preserve"> takes effect from t</w:t>
      </w:r>
      <w:r>
        <w:rPr>
          <w:rFonts w:ascii="Arial" w:hAnsi="Arial" w:cs="Arial"/>
          <w:sz w:val="20"/>
          <w:szCs w:val="20"/>
        </w:rPr>
        <w:t xml:space="preserve">he signing date. </w:t>
      </w:r>
      <w:r w:rsidRPr="009F619C">
        <w:rPr>
          <w:rFonts w:ascii="Arial" w:hAnsi="Arial" w:cs="Arial"/>
          <w:sz w:val="20"/>
          <w:szCs w:val="20"/>
        </w:rPr>
        <w:t xml:space="preserve">The Board of Directors, the </w:t>
      </w:r>
      <w:r>
        <w:rPr>
          <w:rFonts w:ascii="Arial" w:hAnsi="Arial" w:cs="Arial"/>
          <w:sz w:val="20"/>
          <w:szCs w:val="20"/>
        </w:rPr>
        <w:t>Management Board</w:t>
      </w:r>
      <w:r w:rsidRPr="009F619C">
        <w:rPr>
          <w:rFonts w:ascii="Arial" w:hAnsi="Arial" w:cs="Arial"/>
          <w:sz w:val="20"/>
          <w:szCs w:val="20"/>
        </w:rPr>
        <w:t xml:space="preserve"> and the relevant persons are responsible for implementing </w:t>
      </w:r>
      <w:r>
        <w:rPr>
          <w:rFonts w:ascii="Arial" w:hAnsi="Arial" w:cs="Arial"/>
          <w:sz w:val="20"/>
          <w:szCs w:val="20"/>
        </w:rPr>
        <w:t>it</w:t>
      </w:r>
    </w:p>
    <w:p w:rsidR="00652227" w:rsidRDefault="0065222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87EDA" w:rsidRDefault="00E87ED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E87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733"/>
    <w:rsid w:val="00002835"/>
    <w:rsid w:val="000266C2"/>
    <w:rsid w:val="000365C1"/>
    <w:rsid w:val="00050E3D"/>
    <w:rsid w:val="000603A9"/>
    <w:rsid w:val="000A0B74"/>
    <w:rsid w:val="000A52E4"/>
    <w:rsid w:val="000D20D4"/>
    <w:rsid w:val="000E4CD5"/>
    <w:rsid w:val="000E518E"/>
    <w:rsid w:val="000E71F4"/>
    <w:rsid w:val="00132EC5"/>
    <w:rsid w:val="00146DCF"/>
    <w:rsid w:val="0016411D"/>
    <w:rsid w:val="00167E2F"/>
    <w:rsid w:val="001B10F3"/>
    <w:rsid w:val="001F1C8A"/>
    <w:rsid w:val="001F34A1"/>
    <w:rsid w:val="001F6744"/>
    <w:rsid w:val="002B42CC"/>
    <w:rsid w:val="002C36A5"/>
    <w:rsid w:val="002D481A"/>
    <w:rsid w:val="002D4939"/>
    <w:rsid w:val="002D53EE"/>
    <w:rsid w:val="002E43D7"/>
    <w:rsid w:val="002E7FD0"/>
    <w:rsid w:val="00304722"/>
    <w:rsid w:val="0032185B"/>
    <w:rsid w:val="00327CF7"/>
    <w:rsid w:val="0033774A"/>
    <w:rsid w:val="00353428"/>
    <w:rsid w:val="0037607E"/>
    <w:rsid w:val="00397004"/>
    <w:rsid w:val="003A0ECB"/>
    <w:rsid w:val="003A5CE9"/>
    <w:rsid w:val="003B73F7"/>
    <w:rsid w:val="003C1805"/>
    <w:rsid w:val="003C4606"/>
    <w:rsid w:val="00403A9C"/>
    <w:rsid w:val="0042783A"/>
    <w:rsid w:val="004530A7"/>
    <w:rsid w:val="00453C9C"/>
    <w:rsid w:val="00467BC0"/>
    <w:rsid w:val="0047038B"/>
    <w:rsid w:val="00490B2B"/>
    <w:rsid w:val="00496733"/>
    <w:rsid w:val="004B2BA6"/>
    <w:rsid w:val="004E4C16"/>
    <w:rsid w:val="00503DD6"/>
    <w:rsid w:val="0052379D"/>
    <w:rsid w:val="0055067A"/>
    <w:rsid w:val="005610CB"/>
    <w:rsid w:val="00576A91"/>
    <w:rsid w:val="0058434E"/>
    <w:rsid w:val="005906FC"/>
    <w:rsid w:val="005B40E5"/>
    <w:rsid w:val="006000D8"/>
    <w:rsid w:val="0063035E"/>
    <w:rsid w:val="006374A1"/>
    <w:rsid w:val="00652227"/>
    <w:rsid w:val="00695ACD"/>
    <w:rsid w:val="006B04E8"/>
    <w:rsid w:val="006B36E8"/>
    <w:rsid w:val="006E15A6"/>
    <w:rsid w:val="006E5E99"/>
    <w:rsid w:val="00732DC3"/>
    <w:rsid w:val="007336C9"/>
    <w:rsid w:val="00744587"/>
    <w:rsid w:val="00745D9A"/>
    <w:rsid w:val="00750F3E"/>
    <w:rsid w:val="0077456B"/>
    <w:rsid w:val="00781EB4"/>
    <w:rsid w:val="007A072F"/>
    <w:rsid w:val="007A1FCC"/>
    <w:rsid w:val="007B07E7"/>
    <w:rsid w:val="007B67AF"/>
    <w:rsid w:val="007C13C6"/>
    <w:rsid w:val="007E0993"/>
    <w:rsid w:val="007F298E"/>
    <w:rsid w:val="00803E2A"/>
    <w:rsid w:val="008134FC"/>
    <w:rsid w:val="00837771"/>
    <w:rsid w:val="0084142F"/>
    <w:rsid w:val="0084485C"/>
    <w:rsid w:val="00853748"/>
    <w:rsid w:val="008544C2"/>
    <w:rsid w:val="008C7A42"/>
    <w:rsid w:val="00937D79"/>
    <w:rsid w:val="00964639"/>
    <w:rsid w:val="00981275"/>
    <w:rsid w:val="009C28F2"/>
    <w:rsid w:val="009E1744"/>
    <w:rsid w:val="009F619C"/>
    <w:rsid w:val="00A06443"/>
    <w:rsid w:val="00A06521"/>
    <w:rsid w:val="00A128FC"/>
    <w:rsid w:val="00A34999"/>
    <w:rsid w:val="00A4710B"/>
    <w:rsid w:val="00A63B6C"/>
    <w:rsid w:val="00A87ED0"/>
    <w:rsid w:val="00AA54AD"/>
    <w:rsid w:val="00AB2C99"/>
    <w:rsid w:val="00AB32F6"/>
    <w:rsid w:val="00AC4F64"/>
    <w:rsid w:val="00AC6BEF"/>
    <w:rsid w:val="00AE6E83"/>
    <w:rsid w:val="00AF67BE"/>
    <w:rsid w:val="00B04704"/>
    <w:rsid w:val="00B21CC3"/>
    <w:rsid w:val="00B70D7E"/>
    <w:rsid w:val="00B7158A"/>
    <w:rsid w:val="00B861FB"/>
    <w:rsid w:val="00BA1F12"/>
    <w:rsid w:val="00BA3FB7"/>
    <w:rsid w:val="00BB149F"/>
    <w:rsid w:val="00BB2980"/>
    <w:rsid w:val="00BD3CCA"/>
    <w:rsid w:val="00BF0485"/>
    <w:rsid w:val="00C220E2"/>
    <w:rsid w:val="00C2280B"/>
    <w:rsid w:val="00C26F1A"/>
    <w:rsid w:val="00C32F3A"/>
    <w:rsid w:val="00C33F82"/>
    <w:rsid w:val="00C36031"/>
    <w:rsid w:val="00C61EAF"/>
    <w:rsid w:val="00C940B5"/>
    <w:rsid w:val="00CA1BB3"/>
    <w:rsid w:val="00CE40C1"/>
    <w:rsid w:val="00D415AC"/>
    <w:rsid w:val="00D52C26"/>
    <w:rsid w:val="00D651E1"/>
    <w:rsid w:val="00D74339"/>
    <w:rsid w:val="00D77F89"/>
    <w:rsid w:val="00D92EFF"/>
    <w:rsid w:val="00DA3531"/>
    <w:rsid w:val="00DA54D0"/>
    <w:rsid w:val="00DD1205"/>
    <w:rsid w:val="00DD263A"/>
    <w:rsid w:val="00DE5C3C"/>
    <w:rsid w:val="00DF4180"/>
    <w:rsid w:val="00DF739B"/>
    <w:rsid w:val="00E13C77"/>
    <w:rsid w:val="00E24F0A"/>
    <w:rsid w:val="00E51F4E"/>
    <w:rsid w:val="00E5565D"/>
    <w:rsid w:val="00E87EDA"/>
    <w:rsid w:val="00E96D65"/>
    <w:rsid w:val="00ED6D41"/>
    <w:rsid w:val="00EF091F"/>
    <w:rsid w:val="00F272CE"/>
    <w:rsid w:val="00F320D6"/>
    <w:rsid w:val="00F33967"/>
    <w:rsid w:val="00F360CB"/>
    <w:rsid w:val="00F514ED"/>
    <w:rsid w:val="00F67909"/>
    <w:rsid w:val="00F74558"/>
    <w:rsid w:val="00F86F7A"/>
    <w:rsid w:val="00F903A5"/>
    <w:rsid w:val="00FC153A"/>
    <w:rsid w:val="00FD3EED"/>
    <w:rsid w:val="00FD4001"/>
    <w:rsid w:val="00FE1D4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D9F37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2</cp:revision>
  <dcterms:created xsi:type="dcterms:W3CDTF">2020-04-29T11:47:00Z</dcterms:created>
  <dcterms:modified xsi:type="dcterms:W3CDTF">2020-04-29T11:47:00Z</dcterms:modified>
</cp:coreProperties>
</file>